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b w:val="1"/>
          <w:sz w:val="23"/>
        </w:rPr>
      </w:pPr>
      <w:r>
        <w:rPr>
          <w:b w:val="1"/>
          <w:sz w:val="23"/>
        </w:rPr>
        <w:drawing>
          <wp:inline>
            <wp:extent cx="2962986" cy="1481493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962986" cy="14814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ind/>
        <w:jc w:val="both"/>
        <w:rPr>
          <w:b w:val="1"/>
          <w:sz w:val="23"/>
        </w:rPr>
      </w:pPr>
    </w:p>
    <w:p w14:paraId="03000000">
      <w:pPr>
        <w:widowControl w:val="1"/>
        <w:ind w:firstLine="709"/>
        <w:jc w:val="both"/>
        <w:rPr>
          <w:i w:val="1"/>
          <w:sz w:val="23"/>
        </w:rPr>
      </w:pPr>
      <w:r>
        <w:rPr>
          <w:b w:val="1"/>
          <w:sz w:val="23"/>
        </w:rPr>
        <w:t>К</w:t>
      </w:r>
      <w:r>
        <w:rPr>
          <w:b w:val="1"/>
          <w:sz w:val="23"/>
        </w:rPr>
        <w:t>оррупция</w:t>
      </w:r>
      <w:r>
        <w:rPr>
          <w:sz w:val="23"/>
        </w:rPr>
        <w:t xml:space="preserve"> -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указанных деяний от имени или в интересах юридического лица </w:t>
      </w:r>
      <w:r>
        <w:rPr>
          <w:i w:val="1"/>
          <w:sz w:val="23"/>
        </w:rPr>
        <w:t>(ст. 1 Федерального закона от 25.12.2008 № 273-ФЗ «О противодействии коррупции»</w:t>
      </w:r>
      <w:r>
        <w:rPr>
          <w:i w:val="1"/>
          <w:sz w:val="23"/>
        </w:rPr>
        <w:t xml:space="preserve"> (далее – закон)</w:t>
      </w:r>
      <w:r>
        <w:rPr>
          <w:i w:val="1"/>
          <w:sz w:val="23"/>
        </w:rPr>
        <w:t>).</w:t>
      </w:r>
    </w:p>
    <w:p w14:paraId="04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Любые действия или бездействия, не содержащие вышеуказанных признаков, коррупционными нарушениями не являются. Коррупционные нарушения могут выражаться в </w:t>
      </w:r>
      <w:r>
        <w:rPr>
          <w:b w:val="1"/>
          <w:sz w:val="23"/>
        </w:rPr>
        <w:t>дисциплинарных проступках</w:t>
      </w:r>
      <w:r>
        <w:rPr>
          <w:sz w:val="23"/>
        </w:rPr>
        <w:t xml:space="preserve">, </w:t>
      </w:r>
      <w:r>
        <w:rPr>
          <w:b w:val="1"/>
          <w:sz w:val="23"/>
        </w:rPr>
        <w:t>административных правонарушениях</w:t>
      </w:r>
      <w:r>
        <w:rPr>
          <w:sz w:val="23"/>
        </w:rPr>
        <w:t xml:space="preserve"> или </w:t>
      </w:r>
      <w:r>
        <w:rPr>
          <w:b w:val="1"/>
          <w:sz w:val="23"/>
        </w:rPr>
        <w:t>коррупционных преступлениях</w:t>
      </w:r>
      <w:r>
        <w:rPr>
          <w:sz w:val="23"/>
        </w:rPr>
        <w:t>.</w:t>
      </w:r>
    </w:p>
    <w:p w14:paraId="05000000">
      <w:pPr>
        <w:widowControl w:val="1"/>
        <w:ind w:firstLine="709"/>
        <w:jc w:val="both"/>
        <w:rPr>
          <w:sz w:val="23"/>
        </w:rPr>
      </w:pPr>
      <w:r>
        <w:rPr>
          <w:b w:val="1"/>
          <w:sz w:val="23"/>
        </w:rPr>
        <w:t>Дисциплинарный коррупционный проступок</w:t>
      </w:r>
      <w:r>
        <w:rPr>
          <w:sz w:val="23"/>
        </w:rPr>
        <w:t xml:space="preserve"> – это действие или бездействие лица, нарушающее законодательство о противодействии коррупции, но не </w:t>
      </w:r>
      <w:r>
        <w:rPr>
          <w:sz w:val="23"/>
        </w:rPr>
        <w:t>являющееся преступлением или административным правонарушением.</w:t>
      </w:r>
    </w:p>
    <w:p w14:paraId="06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Наиболее распространёнными дисциплинарными проступками являются: неуведомление государственным или муниципальным служащим представителя нанимателя (работодателя), органов прокуратуры, правоохранительных органов о случаях обращения к нему каких-либо лиц в целях склонения его к совершению коррупционных правонарушений (ст.9 закона); непринятие государственным или муниципальным служащим мер по предотвращению возникшего или могущего возникнуть конфликта интересов, а равно неуведомление представителя нанимателя (непосредственного начальника) о возникшем конфликте интересов либо о наличии заинтересованности, которая может привести к конфликту интересов (ст.10 закона); непредставление либо представление недостоверных неполных сведений о доходах, расходах, имуществе и обязательствах имущественного характера государственного (муниципального) служащего или его супруги (а) и несовершеннолетних детей (ст.8 закона) и т.д.</w:t>
      </w:r>
    </w:p>
    <w:p w14:paraId="07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Так, например, государственный служащий в справке о доходах, расходах, имуществе и обязательствах имущественного характера не указал сведения о своих расходах на приобретение в отчетном периоде квартиры на сумму, превышающую совокупный доход с супругой за три года, предшествующих покупке.</w:t>
      </w:r>
    </w:p>
    <w:p w14:paraId="08000000">
      <w:pPr>
        <w:widowControl w:val="1"/>
        <w:ind w:firstLine="709"/>
        <w:jc w:val="both"/>
        <w:rPr>
          <w:sz w:val="23"/>
        </w:rPr>
      </w:pPr>
      <w:r>
        <w:rPr>
          <w:b w:val="1"/>
          <w:sz w:val="23"/>
        </w:rPr>
        <w:t>Административным коррупционным правонарушением</w:t>
      </w:r>
      <w:r>
        <w:rPr>
          <w:sz w:val="23"/>
        </w:rPr>
        <w:t xml:space="preserve"> является обладающее признаками коррупции действие или бездействие, предусмотренное Кодексом Российской Федерации об административных </w:t>
      </w:r>
      <w:r>
        <w:rPr>
          <w:sz w:val="23"/>
        </w:rPr>
        <w:t>правонарушениях (КоАП РФ), за совершение которого установлена административная ответственность, но не являющееся преступлением.</w:t>
      </w:r>
    </w:p>
    <w:p w14:paraId="09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КоАП РФ относит к числу коррупционных лишь две статьи: незаконное вознаграждение (взятка) от имени юридического лица (ст. 19.28 КоАП РФ) и привлечение работодателем к трудовой деятельности либо заказчиком работ (услуг) к выполнению работ на условиях гражданско-правового договора бывшего или действующего государственного или муниципального служащего, замещающего должность, включённую в установленный перечень, без уведомления его бывшего работодателя в 10-дневный срок (ст. 19.29 КоАП РФ).</w:t>
      </w:r>
    </w:p>
    <w:p w14:paraId="0A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Дела о коррупционных административных правонарушениях возбуждаются исключительно прокурором.</w:t>
      </w:r>
    </w:p>
    <w:p w14:paraId="0B000000">
      <w:pPr>
        <w:pStyle w:val="Style_1"/>
        <w:widowControl w:val="1"/>
        <w:spacing w:after="0" w:before="120"/>
        <w:ind w:firstLine="142" w:left="-142" w:right="0"/>
        <w:jc w:val="both"/>
        <w:rPr>
          <w:color w:themeColor="accent1" w:themeShade="BF" w:val="2E75B5"/>
        </w:rPr>
      </w:pPr>
    </w:p>
    <w:p w14:paraId="0C000000">
      <w:pPr>
        <w:pStyle w:val="Style_1"/>
        <w:widowControl w:val="1"/>
        <w:spacing w:after="0" w:before="120"/>
        <w:ind w:firstLine="142" w:left="-142" w:right="0"/>
        <w:jc w:val="both"/>
        <w:rPr>
          <w:color w:themeColor="accent1" w:themeShade="BF" w:val="2E75B5"/>
        </w:rPr>
      </w:pPr>
      <w:r>
        <w:rPr>
          <w:color w:themeColor="accent1" w:themeShade="BF" w:val="2E75B5"/>
        </w:rPr>
        <w:t>Согласно статистике,</w:t>
      </w:r>
      <w:r>
        <w:rPr>
          <w:color w:themeColor="accent1" w:themeShade="BF" w:val="2E75B5"/>
        </w:rPr>
        <w:t xml:space="preserve"> каждый 10-й осужденный по «коррупционным» статьям – сотрудник правоохранительных органов</w:t>
      </w:r>
      <w:r>
        <w:rPr>
          <w:color w:themeColor="accent1" w:themeShade="BF" w:val="2E75B5"/>
        </w:rPr>
        <w:t xml:space="preserve">. Таким образом, </w:t>
      </w:r>
      <w:r>
        <w:rPr>
          <w:color w:themeColor="accent1" w:themeShade="BF" w:val="2E75B5"/>
        </w:rPr>
        <w:t>это самая опасная работа для людей, склонных к нетрудовым доходам.</w:t>
      </w:r>
    </w:p>
    <w:p w14:paraId="0D000000">
      <w:pPr>
        <w:pStyle w:val="Style_1"/>
        <w:widowControl w:val="1"/>
        <w:spacing w:after="0" w:before="120"/>
        <w:ind w:firstLine="142" w:left="-142" w:right="0"/>
        <w:jc w:val="both"/>
        <w:rPr>
          <w:color w:themeColor="accent1" w:themeShade="BF" w:val="2E75B5"/>
        </w:rPr>
      </w:pPr>
    </w:p>
    <w:p w14:paraId="0E000000">
      <w:pPr>
        <w:widowControl w:val="1"/>
        <w:ind/>
        <w:jc w:val="both"/>
        <w:rPr>
          <w:sz w:val="23"/>
        </w:rPr>
      </w:pPr>
    </w:p>
    <w:p w14:paraId="0F000000">
      <w:pPr>
        <w:widowControl w:val="1"/>
        <w:ind/>
        <w:jc w:val="both"/>
        <w:rPr>
          <w:sz w:val="23"/>
        </w:rPr>
      </w:pPr>
      <w:r>
        <w:rPr>
          <w:b w:val="1"/>
          <w:sz w:val="23"/>
        </w:rPr>
        <w:t>Коррупционными</w:t>
      </w:r>
      <w:r>
        <w:rPr>
          <w:b w:val="1"/>
          <w:sz w:val="23"/>
        </w:rPr>
        <w:t xml:space="preserve"> преступлениями</w:t>
      </w:r>
      <w:r>
        <w:rPr>
          <w:sz w:val="23"/>
        </w:rPr>
        <w:t xml:space="preserve"> являются предусмотренные Уголовным кодексом РФ (далее – УК РФ) общественно опасные деяния, непосредственно посягающие на авторитет публичной службы, выражающиеся в незаконном получении должностными лицами каких-либо преимуществ (имущества, </w:t>
      </w:r>
      <w:r>
        <w:rPr>
          <w:sz w:val="23"/>
        </w:rPr>
        <w:t>прав на него, услуг или льгот) либо в предоставлении последним таких преимуществ, например:</w:t>
      </w:r>
    </w:p>
    <w:p w14:paraId="10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- использование должностным лицом своих полномочий для получения имущественной выгоды (ст.ст. 285, 286 УК РФ);</w:t>
      </w:r>
    </w:p>
    <w:p w14:paraId="11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-дача или получение взятки (материальные ценности, деньги, ювелирные изделия, бытовая и иная техника, недвижимость, транспортное средство, оплата обучения детям или супругам, путевка на отдых и т.д.) за совершение действий при исполнении должностных полномочий, в том числе освобождение лица от ответственности за нарушение закона (ст.ст. 290, 291 УК РФ);</w:t>
      </w:r>
    </w:p>
    <w:p w14:paraId="12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- мелкое взяточничество, то есть получение, дача взятки лично или через посредника в размере, не превышающем 10 тысяч рублей (ст. 291.1 УК РФ;</w:t>
      </w:r>
    </w:p>
    <w:p w14:paraId="13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>- хищение должностным лицом бюджетных средств (части 3 и 4 ст.159 УК РФ);</w:t>
      </w:r>
    </w:p>
    <w:p w14:paraId="14000000">
      <w:pPr>
        <w:widowControl w:val="1"/>
        <w:ind w:firstLine="709"/>
        <w:jc w:val="both"/>
        <w:rPr>
          <w:rFonts w:asciiTheme="minorAscii" w:hAnsiTheme="minorHAnsi"/>
          <w:color w:val="333333"/>
        </w:rPr>
      </w:pPr>
      <w:r>
        <w:rPr>
          <w:sz w:val="23"/>
        </w:rPr>
        <w:t>- внесение должностным лицом или служащим в официальные документы заведомо ложных или искажающих действительность сведений из корыстной или иной личной заинтересованности (ст.292 УК РФ) и др.</w:t>
      </w:r>
    </w:p>
    <w:p w14:paraId="15000000">
      <w:pPr>
        <w:widowControl w:val="1"/>
        <w:ind w:firstLine="709"/>
        <w:jc w:val="both"/>
        <w:rPr>
          <w:sz w:val="23"/>
        </w:rPr>
      </w:pPr>
      <w:r>
        <w:rPr>
          <w:sz w:val="23"/>
        </w:rPr>
        <w:t xml:space="preserve">Порядок действий </w:t>
      </w:r>
      <w:r>
        <w:rPr>
          <w:sz w:val="23"/>
        </w:rPr>
        <w:t>в случае предложения или вымогательства взятки</w:t>
      </w:r>
      <w:r>
        <w:rPr>
          <w:sz w:val="23"/>
        </w:rPr>
        <w:t>:</w:t>
      </w:r>
    </w:p>
    <w:p w14:paraId="16000000">
      <w:pPr>
        <w:widowControl w:val="1"/>
        <w:ind w:firstLine="709"/>
        <w:jc w:val="both"/>
        <w:rPr>
          <w:sz w:val="23"/>
        </w:rPr>
      </w:pPr>
    </w:p>
    <w:p w14:paraId="17000000">
      <w:pPr>
        <w:pStyle w:val="Style_2"/>
        <w:widowControl w:val="1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(взятковымогателем) либо как готовность, либо как категорический отказ принять (дать) взятку</w:t>
      </w:r>
      <w:r>
        <w:rPr>
          <w:sz w:val="23"/>
        </w:rPr>
        <w:t>;</w:t>
      </w:r>
    </w:p>
    <w:p w14:paraId="18000000">
      <w:pPr>
        <w:pStyle w:val="Style_2"/>
        <w:widowControl w:val="1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 xml:space="preserve">внимательно выслушать и точно запомнить предложенные Вам условия </w:t>
      </w:r>
      <w:r>
        <w:rPr>
          <w:sz w:val="23"/>
        </w:rPr>
        <w:t>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</w:t>
      </w:r>
      <w:r>
        <w:rPr>
          <w:sz w:val="23"/>
        </w:rPr>
        <w:t>;</w:t>
      </w:r>
    </w:p>
    <w:p w14:paraId="19000000">
      <w:pPr>
        <w:pStyle w:val="Style_2"/>
        <w:widowControl w:val="1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14:paraId="1A000000">
      <w:pPr>
        <w:pStyle w:val="Style_2"/>
        <w:widowControl w:val="1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</w:r>
    </w:p>
    <w:p w14:paraId="1B000000">
      <w:pPr>
        <w:pStyle w:val="Style_2"/>
        <w:widowControl w:val="1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при наличии у Вас диктофона постараться записать (скрытно) предложение о взятке или ее вымогательстве;</w:t>
      </w:r>
    </w:p>
    <w:p w14:paraId="1C000000">
      <w:pPr>
        <w:pStyle w:val="Style_2"/>
        <w:widowControl w:val="1"/>
        <w:numPr>
          <w:ilvl w:val="0"/>
          <w:numId w:val="1"/>
        </w:numPr>
        <w:ind w:firstLine="0" w:left="0"/>
        <w:jc w:val="both"/>
        <w:rPr>
          <w:sz w:val="23"/>
        </w:rPr>
      </w:pPr>
      <w:r>
        <w:rPr>
          <w:sz w:val="23"/>
        </w:rPr>
        <w:t>обратиться в правоохранительные органы (полиция, следственный комитет, прокуратура) и способствовать расследованию и раскрытию преступления.</w:t>
      </w:r>
    </w:p>
    <w:p w14:paraId="1D000000">
      <w:pPr>
        <w:widowControl w:val="1"/>
        <w:ind w:firstLine="709"/>
        <w:jc w:val="both"/>
      </w:pPr>
    </w:p>
    <w:p w14:paraId="1E000000">
      <w:pPr>
        <w:widowControl w:val="1"/>
        <w:ind w:firstLine="709"/>
        <w:jc w:val="both"/>
      </w:pPr>
    </w:p>
    <w:p w14:paraId="1F000000">
      <w:pPr>
        <w:widowControl w:val="1"/>
        <w:ind w:firstLine="709"/>
        <w:jc w:val="both"/>
      </w:pPr>
    </w:p>
    <w:p w14:paraId="20000000">
      <w:pPr>
        <w:widowControl w:val="1"/>
        <w:ind w:firstLine="709"/>
        <w:jc w:val="both"/>
      </w:pPr>
    </w:p>
    <w:p w14:paraId="21000000">
      <w:pPr>
        <w:widowControl w:val="1"/>
        <w:ind w:firstLine="709"/>
        <w:jc w:val="both"/>
      </w:pPr>
    </w:p>
    <w:p w14:paraId="22000000">
      <w:pPr>
        <w:widowControl w:val="1"/>
        <w:ind w:firstLine="709"/>
        <w:jc w:val="both"/>
      </w:pPr>
    </w:p>
    <w:p w14:paraId="23000000">
      <w:pPr>
        <w:widowControl w:val="1"/>
        <w:ind w:firstLine="709"/>
        <w:jc w:val="both"/>
      </w:pPr>
    </w:p>
    <w:p w14:paraId="24000000">
      <w:pPr>
        <w:widowControl w:val="1"/>
        <w:ind w:firstLine="709"/>
        <w:jc w:val="both"/>
      </w:pPr>
    </w:p>
    <w:p w14:paraId="25000000">
      <w:pPr>
        <w:widowControl w:val="1"/>
        <w:ind w:firstLine="709"/>
        <w:jc w:val="both"/>
      </w:pPr>
    </w:p>
    <w:p w14:paraId="26000000">
      <w:pPr>
        <w:widowControl w:val="1"/>
        <w:ind w:firstLine="709"/>
        <w:jc w:val="both"/>
      </w:pPr>
    </w:p>
    <w:p w14:paraId="27000000">
      <w:pPr>
        <w:widowControl w:val="1"/>
        <w:ind w:firstLine="709"/>
        <w:jc w:val="both"/>
      </w:pPr>
    </w:p>
    <w:p w14:paraId="28000000">
      <w:pPr>
        <w:widowControl w:val="1"/>
        <w:ind w:firstLine="709"/>
        <w:jc w:val="both"/>
      </w:pPr>
      <w:r>
        <w:t xml:space="preserve">      </w:t>
      </w:r>
      <w:r>
        <w:drawing>
          <wp:inline>
            <wp:extent cx="1523147" cy="1456162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523147" cy="145616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9000000">
      <w:pPr>
        <w:widowControl w:val="1"/>
        <w:ind w:firstLine="709"/>
        <w:jc w:val="both"/>
      </w:pPr>
    </w:p>
    <w:p w14:paraId="2A000000">
      <w:pPr>
        <w:widowControl w:val="1"/>
        <w:ind/>
        <w:jc w:val="center"/>
      </w:pPr>
      <w:r>
        <w:drawing>
          <wp:inline>
            <wp:extent cx="861060" cy="1031239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861060" cy="10312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B000000">
      <w:pPr>
        <w:widowControl w:val="1"/>
        <w:ind w:firstLine="709"/>
        <w:jc w:val="both"/>
      </w:pPr>
    </w:p>
    <w:p w14:paraId="2C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ПРОКУРАТУРА </w:t>
      </w:r>
      <w:r>
        <w:rPr>
          <w:sz w:val="28"/>
        </w:rPr>
        <w:t xml:space="preserve">РЕСПУБЛИКИ МОРДОВИЯ </w:t>
      </w:r>
    </w:p>
    <w:p w14:paraId="2D000000">
      <w:pPr>
        <w:widowControl w:val="1"/>
        <w:ind w:firstLine="709"/>
        <w:jc w:val="both"/>
      </w:pPr>
    </w:p>
    <w:p w14:paraId="2E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ПРОКУРАТУРА </w:t>
      </w:r>
      <w:r>
        <w:rPr>
          <w:sz w:val="28"/>
        </w:rPr>
        <w:t xml:space="preserve">ЗУБОВО-ПОЛЯНСКОГО </w:t>
      </w:r>
    </w:p>
    <w:p w14:paraId="2F000000">
      <w:pPr>
        <w:widowControl w:val="1"/>
        <w:ind/>
        <w:jc w:val="center"/>
        <w:rPr>
          <w:sz w:val="28"/>
        </w:rPr>
      </w:pPr>
      <w:r>
        <w:rPr>
          <w:sz w:val="28"/>
        </w:rPr>
        <w:t>РАЙОНА</w:t>
      </w:r>
    </w:p>
    <w:p w14:paraId="30000000">
      <w:pPr>
        <w:widowControl w:val="1"/>
        <w:ind w:firstLine="709"/>
        <w:jc w:val="center"/>
      </w:pPr>
    </w:p>
    <w:p w14:paraId="31000000">
      <w:pPr>
        <w:widowControl w:val="1"/>
        <w:ind w:firstLine="709"/>
        <w:jc w:val="center"/>
      </w:pPr>
    </w:p>
    <w:p w14:paraId="32000000"/>
    <w:p w14:paraId="33000000">
      <w:pPr>
        <w:widowControl w:val="1"/>
        <w:ind w:firstLine="709"/>
        <w:jc w:val="center"/>
      </w:pPr>
    </w:p>
    <w:p w14:paraId="34000000">
      <w:pPr>
        <w:widowControl w:val="1"/>
        <w:ind w:firstLine="709"/>
        <w:jc w:val="center"/>
      </w:pPr>
    </w:p>
    <w:p w14:paraId="35000000">
      <w:pPr>
        <w:widowControl w:val="1"/>
        <w:ind w:firstLine="709"/>
        <w:jc w:val="center"/>
      </w:pPr>
    </w:p>
    <w:p w14:paraId="36000000">
      <w:pPr>
        <w:widowControl w:val="1"/>
        <w:ind/>
        <w:jc w:val="center"/>
        <w:rPr>
          <w:sz w:val="28"/>
        </w:rPr>
      </w:pPr>
      <w:r>
        <w:rPr>
          <w:sz w:val="28"/>
        </w:rPr>
        <w:t>ПАМЯТКА</w:t>
      </w:r>
    </w:p>
    <w:p w14:paraId="37000000">
      <w:pPr>
        <w:widowControl w:val="1"/>
        <w:ind/>
        <w:jc w:val="center"/>
        <w:rPr>
          <w:sz w:val="28"/>
        </w:rPr>
      </w:pPr>
    </w:p>
    <w:p w14:paraId="38000000">
      <w:pPr>
        <w:widowControl w:val="1"/>
        <w:ind/>
        <w:jc w:val="center"/>
        <w:rPr>
          <w:i w:val="1"/>
          <w:sz w:val="28"/>
          <w:u w:val="single"/>
        </w:rPr>
      </w:pPr>
      <w:r>
        <w:rPr>
          <w:i w:val="1"/>
          <w:sz w:val="28"/>
          <w:u w:val="single"/>
        </w:rPr>
        <w:t>«</w:t>
      </w:r>
      <w:r>
        <w:rPr>
          <w:i w:val="1"/>
          <w:sz w:val="28"/>
          <w:u w:val="single"/>
        </w:rPr>
        <w:t>Противодействие коррупции</w:t>
      </w:r>
      <w:r>
        <w:rPr>
          <w:i w:val="1"/>
          <w:sz w:val="28"/>
          <w:u w:val="single"/>
        </w:rPr>
        <w:t>»</w:t>
      </w:r>
    </w:p>
    <w:p w14:paraId="39000000">
      <w:pPr>
        <w:widowControl w:val="1"/>
        <w:ind w:firstLine="709"/>
        <w:jc w:val="center"/>
      </w:pPr>
    </w:p>
    <w:p w14:paraId="3A000000">
      <w:pPr>
        <w:widowControl w:val="1"/>
        <w:ind w:firstLine="709"/>
        <w:jc w:val="center"/>
      </w:pPr>
    </w:p>
    <w:p w14:paraId="3B000000">
      <w:pPr>
        <w:widowControl w:val="1"/>
        <w:ind w:firstLine="709"/>
        <w:jc w:val="center"/>
      </w:pPr>
    </w:p>
    <w:p w14:paraId="3C000000">
      <w:pPr>
        <w:widowControl w:val="1"/>
        <w:ind w:firstLine="709"/>
        <w:jc w:val="center"/>
      </w:pPr>
    </w:p>
    <w:p w14:paraId="3D000000">
      <w:pPr>
        <w:widowControl w:val="1"/>
        <w:ind w:firstLine="709"/>
        <w:jc w:val="center"/>
      </w:pPr>
    </w:p>
    <w:p w14:paraId="3E000000">
      <w:pPr>
        <w:widowControl w:val="1"/>
        <w:ind w:firstLine="709"/>
        <w:jc w:val="center"/>
      </w:pPr>
    </w:p>
    <w:p w14:paraId="3F000000">
      <w:pPr>
        <w:widowControl w:val="1"/>
        <w:ind w:firstLine="709"/>
        <w:jc w:val="center"/>
      </w:pPr>
    </w:p>
    <w:p w14:paraId="40000000">
      <w:pPr>
        <w:widowControl w:val="1"/>
        <w:ind w:firstLine="709"/>
        <w:jc w:val="center"/>
      </w:pPr>
    </w:p>
    <w:p w14:paraId="41000000">
      <w:pPr>
        <w:widowControl w:val="1"/>
        <w:ind w:firstLine="709"/>
        <w:jc w:val="center"/>
      </w:pPr>
    </w:p>
    <w:p w14:paraId="42000000">
      <w:pPr>
        <w:widowControl w:val="1"/>
        <w:ind w:firstLine="709"/>
        <w:jc w:val="center"/>
      </w:pPr>
    </w:p>
    <w:p w14:paraId="43000000">
      <w:pPr>
        <w:widowControl w:val="1"/>
        <w:ind w:firstLine="709"/>
        <w:jc w:val="center"/>
      </w:pPr>
    </w:p>
    <w:p w14:paraId="44000000">
      <w:pPr>
        <w:widowControl w:val="1"/>
        <w:ind/>
        <w:jc w:val="center"/>
      </w:pPr>
      <w:r>
        <w:t>рп. Зубова Поляна</w:t>
      </w:r>
      <w:r>
        <w:t>, 2026</w:t>
      </w:r>
      <w:r>
        <w:t xml:space="preserve"> год</w:t>
      </w:r>
    </w:p>
    <w:sectPr>
      <w:pgSz w:h="11906" w:orient="landscape" w:w="16838"/>
      <w:pgMar w:bottom="709" w:footer="708" w:gutter="0" w:header="708" w:left="709" w:right="678" w:top="567"/>
      <w:cols w:equalWidth="1" w:num="3" w:space="71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"/>
      <w:lvlJc w:val="left"/>
      <w:pPr>
        <w:widowControl w:val="1"/>
        <w:ind w:hanging="360" w:left="1429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No Spacing"/>
    <w:basedOn w:val="Style_3"/>
    <w:link w:val="Style_8_ch"/>
    <w:pPr>
      <w:widowControl w:val="1"/>
      <w:spacing w:afterAutospacing="on" w:beforeAutospacing="on"/>
      <w:ind/>
    </w:pPr>
  </w:style>
  <w:style w:styleId="Style_8_ch" w:type="character">
    <w:name w:val="No Spacing"/>
    <w:basedOn w:val="Style_3_ch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3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Balloon Text"/>
    <w:basedOn w:val="Style_3"/>
    <w:link w:val="Style_14_ch"/>
    <w:rPr>
      <w:rFonts w:ascii="Segoe UI" w:hAnsi="Segoe UI"/>
      <w:sz w:val="18"/>
    </w:rPr>
  </w:style>
  <w:style w:styleId="Style_14_ch" w:type="character">
    <w:name w:val="Balloon Text"/>
    <w:basedOn w:val="Style_3_ch"/>
    <w:link w:val="Style_14"/>
    <w:rPr>
      <w:rFonts w:ascii="Segoe UI" w:hAnsi="Segoe UI"/>
      <w:sz w:val="18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Intense Quote"/>
    <w:basedOn w:val="Style_3"/>
    <w:next w:val="Style_3"/>
    <w:link w:val="Style_1_ch"/>
    <w:pPr>
      <w:widowControl w:val="1"/>
      <w:pBdr>
        <w:top w:space="10" w:sz="4" w:themeColor="accent1" w:val="single"/>
        <w:bottom w:space="10" w:sz="4" w:themeColor="accent1" w:val="single"/>
      </w:pBdr>
      <w:spacing w:after="360" w:before="360"/>
      <w:ind w:left="864" w:right="864"/>
      <w:jc w:val="center"/>
    </w:pPr>
    <w:rPr>
      <w:i w:val="1"/>
      <w:color w:themeColor="accent1" w:val="5B9BD5"/>
    </w:rPr>
  </w:style>
  <w:style w:styleId="Style_1_ch" w:type="character">
    <w:name w:val="Intense Quote"/>
    <w:basedOn w:val="Style_3_ch"/>
    <w:link w:val="Style_1"/>
    <w:rPr>
      <w:i w:val="1"/>
      <w:color w:themeColor="accent1" w:val="5B9BD5"/>
    </w:rPr>
  </w:style>
  <w:style w:styleId="Style_16" w:type="paragraph">
    <w:name w:val="Hyperlink"/>
    <w:basedOn w:val="Style_17"/>
    <w:link w:val="Style_16_ch"/>
    <w:rPr>
      <w:color w:themeColor="hyperlink" w:val="0563C1"/>
      <w:u w:val="single"/>
    </w:rPr>
  </w:style>
  <w:style w:styleId="Style_16_ch" w:type="character">
    <w:name w:val="Hyperlink"/>
    <w:basedOn w:val="Style_17_ch"/>
    <w:link w:val="Style_16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Normal (Web)"/>
    <w:basedOn w:val="Style_3"/>
    <w:link w:val="Style_21_ch"/>
    <w:pPr>
      <w:widowControl w:val="1"/>
      <w:spacing w:afterAutospacing="on" w:beforeAutospacing="on"/>
      <w:ind/>
    </w:pPr>
  </w:style>
  <w:style w:styleId="Style_21_ch" w:type="character">
    <w:name w:val="Normal (Web)"/>
    <w:basedOn w:val="Style_3_ch"/>
    <w:link w:val="Style_21"/>
  </w:style>
  <w:style w:styleId="Style_22" w:type="paragraph">
    <w:name w:val="Strong"/>
    <w:basedOn w:val="Style_17"/>
    <w:link w:val="Style_22_ch"/>
    <w:rPr>
      <w:b w:val="1"/>
    </w:rPr>
  </w:style>
  <w:style w:styleId="Style_22_ch" w:type="character">
    <w:name w:val="Strong"/>
    <w:basedOn w:val="Style_17_ch"/>
    <w:link w:val="Style_22"/>
    <w:rPr>
      <w:b w:val="1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6" w:type="paragraph">
    <w:name w:val="header"/>
    <w:basedOn w:val="Style_3"/>
    <w:link w:val="Style_26_ch"/>
    <w:pPr>
      <w:widowControl w:val="1"/>
      <w:tabs>
        <w:tab w:leader="none" w:pos="4677" w:val="center"/>
        <w:tab w:leader="none" w:pos="9355" w:val="right"/>
      </w:tabs>
      <w:ind/>
    </w:pPr>
  </w:style>
  <w:style w:styleId="Style_26_ch" w:type="character">
    <w:name w:val="header"/>
    <w:basedOn w:val="Style_3_ch"/>
    <w:link w:val="Style_26"/>
  </w:style>
  <w:style w:styleId="Style_27" w:type="paragraph">
    <w:name w:val="Subtitle"/>
    <w:next w:val="Style_3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media/1.png" Type="http://schemas.openxmlformats.org/officeDocument/2006/relationships/image"/>
  <Relationship Id="rId10" Target="numbering.xml" Type="http://schemas.openxmlformats.org/officeDocument/2006/relationships/numbering"/>
  <Relationship Id="rId2" Target="media/2.jpeg" Type="http://schemas.openxmlformats.org/officeDocument/2006/relationships/image"/>
  <Relationship Id="rId3" Target="media/3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2021-03-02T07:59:00Z</dcterms:created>
  <dcterms:modified xsi:type="dcterms:W3CDTF">2026-06-29T12:08:04Z</dcterms:modified>
</cp:coreProperties>
</file>